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5E9" w:rsidRPr="009568EE" w:rsidRDefault="00EB65E9" w:rsidP="00FF435B">
      <w:pPr>
        <w:pStyle w:val="1"/>
        <w:jc w:val="center"/>
        <w:rPr>
          <w:rFonts w:ascii="Times New Roman" w:hAnsi="Times New Roman" w:cs="Times New Roman"/>
          <w:b w:val="0"/>
          <w:color w:val="7F7F7F" w:themeColor="text1" w:themeTint="80"/>
        </w:rPr>
      </w:pPr>
      <w:r w:rsidRPr="009568EE">
        <w:rPr>
          <w:rFonts w:ascii="Times New Roman" w:hAnsi="Times New Roman" w:cs="Times New Roman"/>
          <w:b w:val="0"/>
          <w:color w:val="7F7F7F" w:themeColor="text1" w:themeTint="80"/>
        </w:rPr>
        <w:t>КАРТА НАБЛЮДЕНИЯ И АНАЛИЗА УРОКА</w:t>
      </w:r>
    </w:p>
    <w:p w:rsidR="00EB65E9" w:rsidRPr="009568EE" w:rsidRDefault="00EB65E9" w:rsidP="00EB65E9">
      <w:pPr>
        <w:pStyle w:val="a3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9568EE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Дата ______________ Класс ________ Учитель ___________________________________</w:t>
      </w:r>
    </w:p>
    <w:p w:rsidR="00EB65E9" w:rsidRPr="009568EE" w:rsidRDefault="00EB65E9" w:rsidP="00EB65E9">
      <w:pPr>
        <w:pStyle w:val="a3"/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</w:pPr>
      <w:r w:rsidRPr="009568EE">
        <w:rPr>
          <w:rFonts w:ascii="Times New Roman" w:hAnsi="Times New Roman" w:cs="Times New Roman"/>
          <w:b/>
          <w:color w:val="7F7F7F" w:themeColor="text1" w:themeTint="80"/>
          <w:sz w:val="24"/>
          <w:szCs w:val="24"/>
        </w:rPr>
        <w:t>Тема урока________________________________________________________________</w:t>
      </w:r>
    </w:p>
    <w:p w:rsidR="00EB65E9" w:rsidRPr="009568EE" w:rsidRDefault="00EB65E9" w:rsidP="00EB65E9">
      <w:pPr>
        <w:pStyle w:val="a3"/>
        <w:rPr>
          <w:rFonts w:ascii="Times New Roman" w:hAnsi="Times New Roman" w:cs="Times New Roman"/>
          <w:color w:val="7F7F7F" w:themeColor="text1" w:themeTint="80"/>
          <w:sz w:val="24"/>
          <w:szCs w:val="24"/>
        </w:rPr>
      </w:pPr>
      <w:r w:rsidRPr="009568EE">
        <w:rPr>
          <w:rFonts w:ascii="Times New Roman" w:hAnsi="Times New Roman" w:cs="Times New Roman"/>
          <w:color w:val="7F7F7F" w:themeColor="text1" w:themeTint="80"/>
          <w:sz w:val="24"/>
          <w:szCs w:val="24"/>
        </w:rPr>
        <w:t>Цель посещения урока: анализ деятельности учителя по формированию  читательской грамотности учащихся  на уроке</w:t>
      </w:r>
    </w:p>
    <w:p w:rsidR="007A1CC2" w:rsidRPr="009568EE" w:rsidRDefault="007A1CC2" w:rsidP="00EB65E9">
      <w:pPr>
        <w:pStyle w:val="a3"/>
        <w:rPr>
          <w:rFonts w:ascii="Times New Roman" w:hAnsi="Times New Roman" w:cs="Times New Roman"/>
          <w:color w:val="7F7F7F" w:themeColor="text1" w:themeTint="80"/>
          <w:sz w:val="24"/>
          <w:szCs w:val="24"/>
          <w:u w:val="single"/>
        </w:rPr>
      </w:pPr>
    </w:p>
    <w:tbl>
      <w:tblPr>
        <w:tblStyle w:val="a4"/>
        <w:tblW w:w="9322" w:type="dxa"/>
        <w:tblLook w:val="04A0" w:firstRow="1" w:lastRow="0" w:firstColumn="1" w:lastColumn="0" w:noHBand="0" w:noVBand="1"/>
      </w:tblPr>
      <w:tblGrid>
        <w:gridCol w:w="3868"/>
        <w:gridCol w:w="683"/>
        <w:gridCol w:w="1231"/>
        <w:gridCol w:w="585"/>
        <w:gridCol w:w="2955"/>
      </w:tblGrid>
      <w:tr w:rsidR="009568EE" w:rsidRPr="009568EE" w:rsidTr="00160722">
        <w:trPr>
          <w:trHeight w:val="300"/>
        </w:trPr>
        <w:tc>
          <w:tcPr>
            <w:tcW w:w="3868" w:type="dxa"/>
            <w:vMerge w:val="restart"/>
          </w:tcPr>
          <w:p w:rsidR="00386595" w:rsidRPr="009568EE" w:rsidRDefault="00386595" w:rsidP="00EB65E9">
            <w:pPr>
              <w:pStyle w:val="a3"/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Параметры  наблюдения и анализа на уроке</w:t>
            </w:r>
          </w:p>
        </w:tc>
        <w:tc>
          <w:tcPr>
            <w:tcW w:w="2499" w:type="dxa"/>
            <w:gridSpan w:val="3"/>
            <w:tcBorders>
              <w:bottom w:val="single" w:sz="4" w:space="0" w:color="auto"/>
            </w:tcBorders>
          </w:tcPr>
          <w:p w:rsidR="00386595" w:rsidRPr="009568EE" w:rsidRDefault="00A2670D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констатация</w:t>
            </w:r>
          </w:p>
        </w:tc>
        <w:tc>
          <w:tcPr>
            <w:tcW w:w="2955" w:type="dxa"/>
            <w:vMerge w:val="restart"/>
          </w:tcPr>
          <w:p w:rsidR="00386595" w:rsidRPr="009568EE" w:rsidRDefault="00386595" w:rsidP="007A1CC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Примечание</w:t>
            </w:r>
          </w:p>
        </w:tc>
      </w:tr>
      <w:tr w:rsidR="009568EE" w:rsidRPr="009568EE" w:rsidTr="00386595">
        <w:trPr>
          <w:trHeight w:val="600"/>
        </w:trPr>
        <w:tc>
          <w:tcPr>
            <w:tcW w:w="3868" w:type="dxa"/>
            <w:vMerge/>
          </w:tcPr>
          <w:p w:rsidR="00386595" w:rsidRPr="009568EE" w:rsidRDefault="00386595" w:rsidP="00EB65E9">
            <w:pPr>
              <w:pStyle w:val="a3"/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</w:pPr>
          </w:p>
        </w:tc>
        <w:tc>
          <w:tcPr>
            <w:tcW w:w="683" w:type="dxa"/>
          </w:tcPr>
          <w:p w:rsidR="00386595" w:rsidRPr="009568EE" w:rsidRDefault="00386595" w:rsidP="007820B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да</w:t>
            </w:r>
          </w:p>
        </w:tc>
        <w:tc>
          <w:tcPr>
            <w:tcW w:w="1231" w:type="dxa"/>
          </w:tcPr>
          <w:p w:rsidR="00386595" w:rsidRPr="009568EE" w:rsidRDefault="00386595" w:rsidP="007820B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частично</w:t>
            </w:r>
          </w:p>
        </w:tc>
        <w:tc>
          <w:tcPr>
            <w:tcW w:w="585" w:type="dxa"/>
            <w:tcBorders>
              <w:bottom w:val="nil"/>
            </w:tcBorders>
          </w:tcPr>
          <w:p w:rsidR="00386595" w:rsidRPr="009568EE" w:rsidRDefault="00386595" w:rsidP="007820B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нет</w:t>
            </w:r>
          </w:p>
        </w:tc>
        <w:tc>
          <w:tcPr>
            <w:tcW w:w="2955" w:type="dxa"/>
            <w:vMerge/>
          </w:tcPr>
          <w:p w:rsidR="00386595" w:rsidRPr="009568EE" w:rsidRDefault="00386595" w:rsidP="007A1CC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</w:p>
        </w:tc>
      </w:tr>
      <w:tr w:rsidR="009568EE" w:rsidRPr="009568EE" w:rsidTr="004219AB">
        <w:tc>
          <w:tcPr>
            <w:tcW w:w="9322" w:type="dxa"/>
            <w:gridSpan w:val="5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I. Анализ этапов урока, проведенных на основе читательской грамотности</w:t>
            </w: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Мотивирована ли деятельность учащихся? Вызван ли интерес к теме?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Создана ли проблемная ситуация (вопрос)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650C14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Активизация мыслительной деятельности учащихся (</w:t>
            </w:r>
            <w:r w:rsidR="00650C14"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загадки</w:t>
            </w:r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, ролевые игры, опорные схемы, творческие задания,</w:t>
            </w:r>
            <w:r w:rsidR="00650C14"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 xml:space="preserve"> ребусы,</w:t>
            </w:r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 xml:space="preserve"> кроссворды, викторины  и </w:t>
            </w:r>
            <w:proofErr w:type="spellStart"/>
            <w:proofErr w:type="gramStart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др</w:t>
            </w:r>
            <w:proofErr w:type="spellEnd"/>
            <w:proofErr w:type="gramEnd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)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Использована актуализация знаний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Формирование читательской грамотности с помощью:</w:t>
            </w:r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 xml:space="preserve"> стратегий чтения (</w:t>
            </w:r>
            <w:proofErr w:type="spellStart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Сметанникова</w:t>
            </w:r>
            <w:proofErr w:type="spellEnd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)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-</w:t>
            </w:r>
            <w:proofErr w:type="spellStart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предтекстовая</w:t>
            </w:r>
            <w:proofErr w:type="spellEnd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 xml:space="preserve"> стратегия </w:t>
            </w: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Работа с текстом до чтения.  1) Актуализировать имеющиеся у учащихся знания и смыслы в связи с изучаемым материалом; 2) Пробудить познавательный интерес к изучаемому материалу; 3) Помочь учащимся самим определить направление в изучении темы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7820B2">
            <w:pPr>
              <w:pStyle w:val="a3"/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-текстовая стратегия</w:t>
            </w: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 xml:space="preserve"> Работа с текстом во время чтения. Цель: понимание текста и создание его читательской интерпретации.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DB4ABA">
            <w:pPr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-</w:t>
            </w:r>
            <w:proofErr w:type="spellStart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>послетекстовая</w:t>
            </w:r>
            <w:proofErr w:type="spellEnd"/>
            <w:r w:rsidRPr="009568EE"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 xml:space="preserve"> стратегия</w:t>
            </w: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 xml:space="preserve"> Работа с текстом после чтения Цель: понимание текста и создание его читательской </w:t>
            </w: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lastRenderedPageBreak/>
              <w:t>интерпретации.</w:t>
            </w:r>
          </w:p>
          <w:p w:rsidR="00386595" w:rsidRPr="009568EE" w:rsidRDefault="00386595" w:rsidP="007820B2">
            <w:pPr>
              <w:pStyle w:val="a3"/>
              <w:rPr>
                <w:rFonts w:ascii="Times New Roman" w:eastAsia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</w:pP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lastRenderedPageBreak/>
              <w:t xml:space="preserve">Предложено ли домашнее задание, содержащее элементы формирования читательской грамотности? 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bookmarkStart w:id="0" w:name="_GoBack"/>
            <w:bookmarkEnd w:id="0"/>
          </w:p>
        </w:tc>
      </w:tr>
      <w:tr w:rsidR="009568EE" w:rsidRPr="009568EE" w:rsidTr="00337BEE">
        <w:tc>
          <w:tcPr>
            <w:tcW w:w="9322" w:type="dxa"/>
            <w:gridSpan w:val="5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II. Анализ деятельности учителя</w:t>
            </w: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-организация читательского пространства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-минимум информации от учителя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- максимум управленческой деятельности учителем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9C7BF6">
        <w:tc>
          <w:tcPr>
            <w:tcW w:w="9322" w:type="dxa"/>
            <w:gridSpan w:val="5"/>
          </w:tcPr>
          <w:p w:rsidR="00386595" w:rsidRPr="009568EE" w:rsidRDefault="00386595" w:rsidP="00BF58F2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lang w:val="en-US"/>
              </w:rPr>
              <w:t>III</w:t>
            </w:r>
            <w:r w:rsidRPr="009568EE"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</w:rPr>
              <w:t xml:space="preserve">. </w:t>
            </w: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 xml:space="preserve">Организована работа </w:t>
            </w:r>
            <w:r w:rsidR="00566A27"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с текстом</w:t>
            </w: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Со сплошным текстом</w:t>
            </w:r>
            <w:r w:rsidR="00650C14"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 xml:space="preserve"> (линейным)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650C14" w:rsidP="0033079B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proofErr w:type="spellStart"/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Несплошным</w:t>
            </w:r>
            <w:proofErr w:type="spellEnd"/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 xml:space="preserve"> (нелинейным) </w:t>
            </w:r>
            <w:r w:rsidR="00386595"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текстом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Смешанным текстом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B04F6C">
        <w:tc>
          <w:tcPr>
            <w:tcW w:w="9322" w:type="dxa"/>
            <w:gridSpan w:val="5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6"/>
                <w:szCs w:val="26"/>
              </w:rPr>
              <w:t>Формируются типы читательских умений:</w:t>
            </w: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7820B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-находить и извлекать информацию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601D97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 xml:space="preserve">- </w:t>
            </w:r>
            <w:r w:rsidR="00601D97"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 xml:space="preserve">интерпретировать </w:t>
            </w: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информацию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7820B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</w:pPr>
            <w:r w:rsidRPr="009568EE"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</w:rPr>
              <w:t>- осмысливать и оценивать информацию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3D4DAB">
        <w:tc>
          <w:tcPr>
            <w:tcW w:w="9322" w:type="dxa"/>
            <w:gridSpan w:val="5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b/>
                <w:color w:val="7F7F7F" w:themeColor="text1" w:themeTint="80"/>
                <w:sz w:val="24"/>
                <w:szCs w:val="24"/>
              </w:rPr>
              <w:t>Анализ организации деятельности учащихся</w:t>
            </w: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  <w:t>постановка целей и задач деятельности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  <w:t>умение самостоятельно добывать информацию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  <w:t>умение конспектировать, строить опорные схемы, работать  с ними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  <w:t>формулирование вопросов, умение вести учебный диалог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  <w:t>умение работать с текстом, выделять главное в нем, сравнивать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9568EE" w:rsidRPr="009568EE" w:rsidTr="00FF435B">
        <w:tc>
          <w:tcPr>
            <w:tcW w:w="3868" w:type="dxa"/>
          </w:tcPr>
          <w:p w:rsidR="00386595" w:rsidRPr="009568EE" w:rsidRDefault="00386595" w:rsidP="00BF58F2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  <w:t>умение взаимодействовать, работать в группе в разных ролях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  <w:tr w:rsidR="00386595" w:rsidRPr="009568EE" w:rsidTr="00FF435B">
        <w:tc>
          <w:tcPr>
            <w:tcW w:w="3868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color w:val="7F7F7F" w:themeColor="text1" w:themeTint="80"/>
                <w:sz w:val="26"/>
                <w:szCs w:val="26"/>
                <w:u w:val="single"/>
              </w:rPr>
            </w:pPr>
            <w:r w:rsidRPr="009568EE">
              <w:rPr>
                <w:rFonts w:ascii="Times New Roman" w:eastAsia="Times New Roman" w:hAnsi="Times New Roman" w:cs="Times New Roman"/>
                <w:color w:val="7F7F7F" w:themeColor="text1" w:themeTint="80"/>
                <w:sz w:val="24"/>
                <w:szCs w:val="24"/>
              </w:rPr>
              <w:t>умение обобщать, делать выводы</w:t>
            </w:r>
          </w:p>
        </w:tc>
        <w:tc>
          <w:tcPr>
            <w:tcW w:w="683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1231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58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  <w:tc>
          <w:tcPr>
            <w:tcW w:w="2955" w:type="dxa"/>
          </w:tcPr>
          <w:p w:rsidR="00386595" w:rsidRPr="009568EE" w:rsidRDefault="00386595" w:rsidP="00EB65E9">
            <w:pPr>
              <w:pStyle w:val="a3"/>
              <w:rPr>
                <w:rFonts w:ascii="Times New Roman" w:hAnsi="Times New Roman" w:cs="Times New Roman"/>
                <w:i/>
                <w:color w:val="7F7F7F" w:themeColor="text1" w:themeTint="80"/>
                <w:sz w:val="26"/>
                <w:szCs w:val="26"/>
                <w:u w:val="single"/>
              </w:rPr>
            </w:pPr>
          </w:p>
        </w:tc>
      </w:tr>
    </w:tbl>
    <w:p w:rsidR="00EB65E9" w:rsidRPr="009568EE" w:rsidRDefault="00EB65E9" w:rsidP="00EB65E9">
      <w:pPr>
        <w:pStyle w:val="a3"/>
        <w:rPr>
          <w:rFonts w:ascii="Times New Roman" w:hAnsi="Times New Roman" w:cs="Times New Roman"/>
          <w:b/>
          <w:i/>
          <w:color w:val="7F7F7F" w:themeColor="text1" w:themeTint="80"/>
          <w:sz w:val="24"/>
          <w:szCs w:val="24"/>
          <w:u w:val="single"/>
        </w:rPr>
      </w:pPr>
    </w:p>
    <w:p w:rsidR="00FF435B" w:rsidRPr="009568EE" w:rsidRDefault="00FF435B" w:rsidP="00FF435B">
      <w:pPr>
        <w:pStyle w:val="a3"/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</w:pPr>
      <w:r w:rsidRPr="009568E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>Обработка результатов анализа:</w:t>
      </w:r>
    </w:p>
    <w:p w:rsidR="00FF435B" w:rsidRPr="009568EE" w:rsidRDefault="00FF435B" w:rsidP="00FF435B">
      <w:pPr>
        <w:pStyle w:val="a3"/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</w:pPr>
      <w:r w:rsidRPr="009568E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>-подсчитать количество ответов «да», «частично» и  « нет».</w:t>
      </w:r>
    </w:p>
    <w:p w:rsidR="00FF435B" w:rsidRPr="009568EE" w:rsidRDefault="00FF435B" w:rsidP="00FF435B">
      <w:pPr>
        <w:pStyle w:val="a3"/>
        <w:rPr>
          <w:color w:val="7F7F7F" w:themeColor="text1" w:themeTint="80"/>
        </w:rPr>
      </w:pPr>
      <w:r w:rsidRPr="009568EE">
        <w:rPr>
          <w:rFonts w:ascii="Times New Roman" w:eastAsia="Times New Roman" w:hAnsi="Times New Roman" w:cs="Times New Roman"/>
          <w:color w:val="7F7F7F" w:themeColor="text1" w:themeTint="80"/>
          <w:sz w:val="24"/>
          <w:szCs w:val="24"/>
        </w:rPr>
        <w:t>Найти сумму ответов «да и «частично», если сумма ответов больше, чем ответов «нет», то данный урок можно считать уроком, отвечающим цели  формирования читательской грамотности учащихся.</w:t>
      </w:r>
    </w:p>
    <w:p w:rsidR="00DB4ABA" w:rsidRPr="009568EE" w:rsidRDefault="00DB4ABA">
      <w:pPr>
        <w:rPr>
          <w:color w:val="7F7F7F" w:themeColor="text1" w:themeTint="80"/>
        </w:rPr>
      </w:pPr>
    </w:p>
    <w:sectPr w:rsidR="00DB4ABA" w:rsidRPr="009568EE" w:rsidSect="005640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B65E9"/>
    <w:rsid w:val="0033079B"/>
    <w:rsid w:val="00386595"/>
    <w:rsid w:val="003E583B"/>
    <w:rsid w:val="00551D6B"/>
    <w:rsid w:val="00564020"/>
    <w:rsid w:val="00566A27"/>
    <w:rsid w:val="00601D97"/>
    <w:rsid w:val="00650C14"/>
    <w:rsid w:val="006855E9"/>
    <w:rsid w:val="007A1CC2"/>
    <w:rsid w:val="009568EE"/>
    <w:rsid w:val="00A2670D"/>
    <w:rsid w:val="00A83F0C"/>
    <w:rsid w:val="00BF58F2"/>
    <w:rsid w:val="00CC5B86"/>
    <w:rsid w:val="00DB4ABA"/>
    <w:rsid w:val="00EB65E9"/>
    <w:rsid w:val="00FF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4020"/>
  </w:style>
  <w:style w:type="paragraph" w:styleId="1">
    <w:name w:val="heading 1"/>
    <w:basedOn w:val="a"/>
    <w:next w:val="a"/>
    <w:link w:val="10"/>
    <w:uiPriority w:val="9"/>
    <w:qFormat/>
    <w:rsid w:val="00EB65E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B65E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No Spacing"/>
    <w:uiPriority w:val="1"/>
    <w:qFormat/>
    <w:rsid w:val="00EB65E9"/>
    <w:pPr>
      <w:spacing w:after="0" w:line="240" w:lineRule="auto"/>
    </w:pPr>
    <w:rPr>
      <w:rFonts w:eastAsiaTheme="minorEastAsia"/>
      <w:lang w:eastAsia="ru-RU"/>
    </w:rPr>
  </w:style>
  <w:style w:type="table" w:styleId="a4">
    <w:name w:val="Table Grid"/>
    <w:basedOn w:val="a1"/>
    <w:uiPriority w:val="59"/>
    <w:rsid w:val="00EB65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391</Words>
  <Characters>2230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2022-03-16T12:04:00Z</dcterms:created>
  <dcterms:modified xsi:type="dcterms:W3CDTF">2022-03-20T01:42:00Z</dcterms:modified>
</cp:coreProperties>
</file>