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E89" w:rsidRDefault="009B7E89" w:rsidP="009B7E8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Ключ для самопроверки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12"/>
        <w:gridCol w:w="829"/>
        <w:gridCol w:w="12945"/>
      </w:tblGrid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Задание 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баллы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Содержание критерия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 начале 2000-х, в начале двухтысячных, в 2000-е. Принимаются другие ответы, указывающие на тот же период.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Примеры ответов: в начале 2000-х / 2000-е годы / 2000-2010</w:t>
            </w: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 / В</w:t>
            </w:r>
            <w:proofErr w:type="gramEnd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 начале 2000-х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была мода на высшее образование.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Другой ответ или ответ отсутствует.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Примеры ответов: в 2000 / начало 2000 (неясно, указан период или конкретный</w:t>
            </w:r>
            <w:proofErr w:type="gramEnd"/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год).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Выбраны ответы: 2 (Половина российских школьников после 9 класса уходят из школ, чтобы поступить в колледж или техникум), 3 (Из тех, кто закончил 11 классов, большинство сегодня идут в вузы) и никакие другие.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 выпадающих меню выбраны следующие ответы:</w:t>
            </w:r>
          </w:p>
          <w:p w:rsidR="009B7E89" w:rsidRPr="003171C4" w:rsidRDefault="009B7E89" w:rsidP="0067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А – 4. Недостаточно денег для вуза.</w:t>
            </w:r>
          </w:p>
          <w:p w:rsidR="009B7E89" w:rsidRPr="003171C4" w:rsidRDefault="009B7E89" w:rsidP="0067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proofErr w:type="gramEnd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 – 3. Чтобы профессия давала хороший заработок.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Записано число 14,1. Допустимо: 14.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Выбран ответ 1 (61,3).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Дан ответ, в котором есть указание на то, что 20-летние (молодёжь) чаще выбирают техникум, чтобы раньше начать работать.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Примеры ответов: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• 23,1 % молодёжи идет в техникум, чтобы </w:t>
            </w: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побыстрее</w:t>
            </w:r>
            <w:proofErr w:type="gramEnd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 начать работать.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На данные, в которых говорится о том, что молодёжь идёт учиться в техникум, а не в вуз из-за того, что у них недостаточно денег для вуза и для того, чтобы раньше начать работать.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Дан ответ, в котором есть указание на данные диаграммы «Чтобы раньше начать работать» (допускается также указание на данные диаграмм «Чтобы легче найти работу», «Недостаточно денег для вуза», но только вместе с диаграммой «Чтобы раньше начать работать»), НО при этом нет различения между ответами 20-летних и старших поколений, не говорится именно о</w:t>
            </w:r>
            <w:proofErr w:type="gramEnd"/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молодёжи; ИЛИ приведена только верная доля 20-летних, которые идут в техникум, чтобы раньше начать работать, из соответствующей диаграммы – 23,1% (без достаточных комментариев).</w:t>
            </w:r>
            <w:proofErr w:type="gramEnd"/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Ответ, в котором указано на данные нужной диаграммы, может быть и </w:t>
            </w: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 одной фактической ошибки.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Примеры ответов: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На график «Чтобы раньше начать работать»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• Аня обратила внимание на график,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которому видно, что 20, 30 ,40-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летние не идут в ВУЗ, потому что они 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хотят большой заработок, а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поскорее начать работать.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На данные: «Недостаточно денег 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ля вуза» и «Чтобы раньше начать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работать».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• На процент людей, которые выбрали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техникум для того, чтобы начать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раньше работать.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«Недостаточно денег для вуза, чтобы раньше начать работать».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На данные «Чтобы раньше начать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работать» и «Чтобы легче найти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работу».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23,1%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Аня посмотрела на шкалу «Почему техникум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а не вуз», где в шкале «чтобы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раньше начать работать» процент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людей до 20 лет очень большой.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Следовательно, современн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ая молодёжь хочет раньше начать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зарабатывать, скорее всего, для того,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чтобы не жить за счёт родителей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(в ответе есть неточность: «до 20 лет»).</w:t>
            </w:r>
          </w:p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• Аня обратила внимание на цифры причин ух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ода в вуз у 20-летних, а именно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 xml:space="preserve">«чтобы раньше начать работать» 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ответе есть фактическая ошибка: </w:t>
            </w: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говорится об уходе в вуз, а не в техникум).</w:t>
            </w: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126" w:type="dxa"/>
          </w:tcPr>
          <w:tbl>
            <w:tblPr>
              <w:tblW w:w="0" w:type="auto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ook w:val="04A0" w:firstRow="1" w:lastRow="0" w:firstColumn="1" w:lastColumn="0" w:noHBand="0" w:noVBand="1"/>
            </w:tblPr>
            <w:tblGrid>
              <w:gridCol w:w="12719"/>
            </w:tblGrid>
            <w:tr w:rsidR="009B7E89" w:rsidRPr="003171C4" w:rsidTr="00673D0F">
              <w:tc>
                <w:tcPr>
                  <w:tcW w:w="30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B7E89" w:rsidRPr="003171C4" w:rsidRDefault="009B7E89" w:rsidP="00673D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3171C4">
                    <w:rPr>
                      <w:rFonts w:ascii="TimesNewRomanPSMT" w:eastAsia="Times New Roman" w:hAnsi="TimesNewRomanPSMT" w:cs="Times New Roman"/>
                      <w:color w:val="000000"/>
                      <w:sz w:val="24"/>
                      <w:szCs w:val="24"/>
                      <w:lang w:eastAsia="ru-RU"/>
                    </w:rPr>
                    <w:t>Выбраны следующие ответы и никакие другие:</w:t>
                  </w:r>
                </w:p>
                <w:tbl>
                  <w:tblPr>
                    <w:tblW w:w="12828" w:type="dxa"/>
                    <w:tbl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  <w:insideH w:val="single" w:sz="6" w:space="0" w:color="auto"/>
                      <w:insideV w:val="single" w:sz="6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6906"/>
                    <w:gridCol w:w="2365"/>
                    <w:gridCol w:w="3557"/>
                  </w:tblGrid>
                  <w:tr w:rsidR="009B7E89" w:rsidRPr="003171C4" w:rsidTr="00673D0F">
                    <w:tc>
                      <w:tcPr>
                        <w:tcW w:w="69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Можно ли сделать этот вывод на основе данных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 xml:space="preserve">статьи или </w:t>
                        </w:r>
                        <w:proofErr w:type="spellStart"/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инфографики</w:t>
                        </w:r>
                        <w:proofErr w:type="spellEnd"/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? 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Можно </w:t>
                        </w:r>
                      </w:p>
                    </w:tc>
                    <w:tc>
                      <w:tcPr>
                        <w:tcW w:w="3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Нельзя</w:t>
                        </w:r>
                      </w:p>
                    </w:tc>
                  </w:tr>
                  <w:tr w:rsidR="009B7E89" w:rsidRPr="003171C4" w:rsidTr="00673D0F">
                    <w:tc>
                      <w:tcPr>
                        <w:tcW w:w="69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20-летние чаще уходят в техникумы и колледжи,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>потому что им тяжело или просто скучно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>учиться в школе.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4"/>
                        </w: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1"/>
                        </w:r>
                      </w:p>
                    </w:tc>
                  </w:tr>
                  <w:tr w:rsidR="009B7E89" w:rsidRPr="003171C4" w:rsidTr="00673D0F">
                    <w:tc>
                      <w:tcPr>
                        <w:tcW w:w="69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Высшее образование перестало давать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 xml:space="preserve">преимущества при трудоустройстве. 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1"/>
                        </w: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4"/>
                        </w:r>
                      </w:p>
                    </w:tc>
                  </w:tr>
                  <w:tr w:rsidR="009B7E89" w:rsidRPr="003171C4" w:rsidTr="00673D0F">
                    <w:tc>
                      <w:tcPr>
                        <w:tcW w:w="69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В опросе участвовали только люди, которые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>продолжили учиться после школы.</w:t>
                        </w:r>
                      </w:p>
                    </w:tc>
                    <w:tc>
                      <w:tcPr>
                        <w:tcW w:w="236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4"/>
                        </w: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55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Wingdings-Regular" w:eastAsia="Times New Roman" w:hAnsi="Wingdings-Regular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sym w:font="Symbol" w:char="F0A1"/>
                        </w:r>
                      </w:p>
                    </w:tc>
                  </w:tr>
                  <w:tr w:rsidR="009B7E89" w:rsidRPr="003171C4" w:rsidTr="00673D0F">
                    <w:tc>
                      <w:tcPr>
                        <w:tcW w:w="690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Всё больше людей не </w:t>
                        </w:r>
                        <w:proofErr w:type="gramStart"/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>могут</w:t>
                        </w:r>
                        <w:proofErr w:type="gramEnd"/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t xml:space="preserve"> найди средства на</w:t>
                        </w:r>
                        <w:r w:rsidRPr="003171C4">
                          <w:rPr>
                            <w:rFonts w:ascii="TimesNewRomanPSMT" w:eastAsia="Times New Roman" w:hAnsi="TimesNewRomanPSMT" w:cs="Times New Roman"/>
                            <w:color w:val="000000"/>
                            <w:sz w:val="24"/>
                            <w:szCs w:val="24"/>
                            <w:lang w:eastAsia="ru-RU"/>
                          </w:rPr>
                          <w:br/>
                          <w:t>получение высшего образования.</w:t>
                        </w:r>
                      </w:p>
                    </w:tc>
                    <w:tc>
                      <w:tcPr>
                        <w:tcW w:w="2365" w:type="dxa"/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557" w:type="dxa"/>
                        <w:vAlign w:val="center"/>
                        <w:hideMark/>
                      </w:tcPr>
                      <w:p w:rsidR="009B7E89" w:rsidRPr="003171C4" w:rsidRDefault="009B7E89" w:rsidP="00673D0F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  <w:lang w:eastAsia="ru-RU"/>
                          </w:rPr>
                        </w:pPr>
                      </w:p>
                    </w:tc>
                  </w:tr>
                </w:tbl>
                <w:p w:rsidR="009B7E89" w:rsidRPr="003171C4" w:rsidRDefault="009B7E89" w:rsidP="00673D0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B7E89" w:rsidRPr="003171C4" w:rsidTr="00673D0F">
        <w:tc>
          <w:tcPr>
            <w:tcW w:w="1402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58" w:type="dxa"/>
          </w:tcPr>
          <w:p w:rsidR="009B7E89" w:rsidRPr="003171C4" w:rsidRDefault="009B7E89" w:rsidP="00673D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126" w:type="dxa"/>
          </w:tcPr>
          <w:p w:rsidR="009B7E89" w:rsidRPr="003171C4" w:rsidRDefault="009B7E89" w:rsidP="00673D0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171C4">
              <w:rPr>
                <w:rFonts w:ascii="Times New Roman" w:hAnsi="Times New Roman" w:cs="Times New Roman"/>
                <w:sz w:val="24"/>
                <w:szCs w:val="24"/>
              </w:rPr>
              <w:t>Выбран ответ 2 (Данные об образовании, полученном 30-летними).</w:t>
            </w:r>
          </w:p>
        </w:tc>
      </w:tr>
    </w:tbl>
    <w:p w:rsidR="009B7E89" w:rsidRPr="007659D3" w:rsidRDefault="009B7E89" w:rsidP="009B7E8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7E89" w:rsidRDefault="009B7E89" w:rsidP="00A71BA5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659D3" w:rsidRPr="007659D3" w:rsidRDefault="007659D3" w:rsidP="00A71BA5">
      <w:pPr>
        <w:jc w:val="center"/>
        <w:rPr>
          <w:rFonts w:ascii="Times New Roman" w:hAnsi="Times New Roman" w:cs="Times New Roman"/>
          <w:sz w:val="28"/>
          <w:szCs w:val="28"/>
        </w:rPr>
      </w:pPr>
      <w:r w:rsidRPr="007659D3">
        <w:rPr>
          <w:rFonts w:ascii="Times New Roman" w:hAnsi="Times New Roman" w:cs="Times New Roman"/>
          <w:sz w:val="28"/>
          <w:szCs w:val="28"/>
        </w:rPr>
        <w:lastRenderedPageBreak/>
        <w:t>Читательская грамотность</w:t>
      </w:r>
    </w:p>
    <w:tbl>
      <w:tblPr>
        <w:tblStyle w:val="a3"/>
        <w:tblW w:w="15133" w:type="dxa"/>
        <w:tblLayout w:type="fixed"/>
        <w:tblLook w:val="04A0" w:firstRow="1" w:lastRow="0" w:firstColumn="1" w:lastColumn="0" w:noHBand="0" w:noVBand="1"/>
      </w:tblPr>
      <w:tblGrid>
        <w:gridCol w:w="2093"/>
        <w:gridCol w:w="1843"/>
        <w:gridCol w:w="1984"/>
        <w:gridCol w:w="1418"/>
        <w:gridCol w:w="1559"/>
        <w:gridCol w:w="1559"/>
        <w:gridCol w:w="1559"/>
        <w:gridCol w:w="1559"/>
        <w:gridCol w:w="1559"/>
      </w:tblGrid>
      <w:tr w:rsidR="00FC5E1D" w:rsidRPr="00A71BA5" w:rsidTr="00FC5E1D">
        <w:tc>
          <w:tcPr>
            <w:tcW w:w="2093" w:type="dxa"/>
          </w:tcPr>
          <w:p w:rsidR="00FC5E1D" w:rsidRPr="00A71BA5" w:rsidRDefault="00A71BA5" w:rsidP="007659D3">
            <w:pPr>
              <w:jc w:val="center"/>
              <w:rPr>
                <w:rFonts w:eastAsia="Times New Roman" w:cs="Times New Roman"/>
                <w:b/>
                <w:bCs/>
                <w:color w:val="000000"/>
                <w:lang w:eastAsia="ru-RU"/>
              </w:rPr>
            </w:pPr>
            <w:r w:rsidRPr="00A71BA5">
              <w:rPr>
                <w:rFonts w:eastAsia="Times New Roman" w:cs="Times New Roman"/>
                <w:b/>
                <w:bCs/>
                <w:color w:val="000000"/>
                <w:lang w:eastAsia="ru-RU"/>
              </w:rPr>
              <w:t>задания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 xml:space="preserve">5 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8</w:t>
            </w:r>
          </w:p>
        </w:tc>
      </w:tr>
      <w:tr w:rsidR="00FC5E1D" w:rsidRPr="00A71BA5" w:rsidTr="008217DB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Содержательная область оценки:</w:t>
            </w:r>
          </w:p>
        </w:tc>
        <w:tc>
          <w:tcPr>
            <w:tcW w:w="13040" w:type="dxa"/>
            <w:gridSpan w:val="8"/>
          </w:tcPr>
          <w:p w:rsidR="00FC5E1D" w:rsidRPr="00A71BA5" w:rsidRDefault="00FC5E1D" w:rsidP="007659D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чтение для общественных целей,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образование</w:t>
            </w:r>
          </w:p>
        </w:tc>
      </w:tr>
      <w:tr w:rsidR="00FC5E1D" w:rsidRPr="00A71BA5" w:rsidTr="00FC5E1D">
        <w:trPr>
          <w:trHeight w:val="237"/>
        </w:trPr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Компетентностная</w:t>
            </w:r>
            <w:proofErr w:type="spellEnd"/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 xml:space="preserve"> область оценки: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находить и извлекать информацию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информацию</w:t>
            </w:r>
          </w:p>
        </w:tc>
        <w:tc>
          <w:tcPr>
            <w:tcW w:w="1418" w:type="dxa"/>
          </w:tcPr>
          <w:p w:rsidR="00FC5E1D" w:rsidRPr="00A71BA5" w:rsidRDefault="003171C4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информацию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находить и извлекать информацию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информацию</w:t>
            </w:r>
          </w:p>
        </w:tc>
        <w:tc>
          <w:tcPr>
            <w:tcW w:w="1559" w:type="dxa"/>
          </w:tcPr>
          <w:p w:rsidR="007A6A43" w:rsidRPr="00A71BA5" w:rsidRDefault="007A6A43" w:rsidP="007A6A4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</w:p>
          <w:p w:rsidR="00FC5E1D" w:rsidRPr="00A71BA5" w:rsidRDefault="007A6A43" w:rsidP="007A6A4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информацию</w:t>
            </w:r>
          </w:p>
        </w:tc>
        <w:tc>
          <w:tcPr>
            <w:tcW w:w="1559" w:type="dxa"/>
          </w:tcPr>
          <w:p w:rsidR="007A6A43" w:rsidRPr="00A71BA5" w:rsidRDefault="007A6A43" w:rsidP="007A6A4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</w:p>
          <w:p w:rsidR="00FC5E1D" w:rsidRPr="00A71BA5" w:rsidRDefault="007A6A43" w:rsidP="007A6A4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информацию</w:t>
            </w:r>
          </w:p>
        </w:tc>
        <w:tc>
          <w:tcPr>
            <w:tcW w:w="1559" w:type="dxa"/>
          </w:tcPr>
          <w:p w:rsidR="00FC5E1D" w:rsidRPr="00A71BA5" w:rsidRDefault="00FC5E1D" w:rsidP="00FC5E1D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</w:p>
          <w:p w:rsidR="00FC5E1D" w:rsidRPr="00A71BA5" w:rsidRDefault="00FC5E1D" w:rsidP="00FC5E1D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информацию</w:t>
            </w:r>
          </w:p>
        </w:tc>
      </w:tr>
      <w:tr w:rsidR="00FC5E1D" w:rsidRPr="00A71BA5" w:rsidTr="00FC5E1D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Контекст: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общественный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общественный</w:t>
            </w:r>
          </w:p>
        </w:tc>
        <w:tc>
          <w:tcPr>
            <w:tcW w:w="1418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личный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общественный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 xml:space="preserve">Личный 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личный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личный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личный</w:t>
            </w:r>
          </w:p>
        </w:tc>
      </w:tr>
      <w:tr w:rsidR="00FC5E1D" w:rsidRPr="00A71BA5" w:rsidTr="000032B4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Тип текста:</w:t>
            </w:r>
          </w:p>
        </w:tc>
        <w:tc>
          <w:tcPr>
            <w:tcW w:w="13040" w:type="dxa"/>
            <w:gridSpan w:val="8"/>
          </w:tcPr>
          <w:p w:rsidR="00FC5E1D" w:rsidRPr="00A71BA5" w:rsidRDefault="00FC5E1D" w:rsidP="007659D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proofErr w:type="spellStart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несплошной</w:t>
            </w:r>
            <w:proofErr w:type="spellEnd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 (статья с </w:t>
            </w:r>
            <w:proofErr w:type="spellStart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инфографикой</w:t>
            </w:r>
            <w:proofErr w:type="spellEnd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)</w:t>
            </w:r>
          </w:p>
        </w:tc>
      </w:tr>
      <w:tr w:rsidR="00FC5E1D" w:rsidRPr="00A71BA5" w:rsidTr="00FC5E1D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Уровень сложности задания: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418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низкий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средний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средний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высокий</w:t>
            </w:r>
          </w:p>
        </w:tc>
      </w:tr>
      <w:tr w:rsidR="00FC5E1D" w:rsidRPr="00A71BA5" w:rsidTr="00FC5E1D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Формат ответа: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SymbolMT" w:eastAsia="Times New Roman" w:hAnsi="SymbolMT" w:cs="Times New Roman"/>
                <w:color w:val="000000"/>
                <w:lang w:eastAsia="ru-RU"/>
              </w:rPr>
              <w:t xml:space="preserve"> 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задание с кратким ответом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задание с выбором нескольких верных ответов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</w:r>
          </w:p>
        </w:tc>
        <w:tc>
          <w:tcPr>
            <w:tcW w:w="1418" w:type="dxa"/>
          </w:tcPr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 xml:space="preserve">задание на установление </w:t>
            </w:r>
            <w:proofErr w:type="spellStart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соотвествия</w:t>
            </w:r>
            <w:proofErr w:type="spellEnd"/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задание с кратким ответом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задание с выбором одного верного ответа</w:t>
            </w:r>
          </w:p>
        </w:tc>
        <w:tc>
          <w:tcPr>
            <w:tcW w:w="1559" w:type="dxa"/>
          </w:tcPr>
          <w:p w:rsidR="00FC5E1D" w:rsidRPr="00A71BA5" w:rsidRDefault="007A6A43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задание с развернутым ответом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задание с выбором одного верного ответа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задание с комплексным множественным выбором</w:t>
            </w:r>
          </w:p>
        </w:tc>
      </w:tr>
      <w:tr w:rsidR="00FC5E1D" w:rsidRPr="00A71BA5" w:rsidTr="00FC5E1D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Объект оценки: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SymbolMT" w:eastAsia="Times New Roman" w:hAnsi="Symbol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делать выводы и обобщения на основе информации,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представленной в одном фрагменте текста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</w:r>
          </w:p>
        </w:tc>
        <w:tc>
          <w:tcPr>
            <w:tcW w:w="1418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интегрировать и интерпретировать</w:t>
            </w: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br/>
              <w:t>информацию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находить и извлекать одну единицу информации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делать выводы на основе сравнения данных</w:t>
            </w:r>
          </w:p>
        </w:tc>
        <w:tc>
          <w:tcPr>
            <w:tcW w:w="1559" w:type="dxa"/>
          </w:tcPr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интегрировать и интерпретировать</w:t>
            </w:r>
          </w:p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информацию</w:t>
            </w:r>
          </w:p>
        </w:tc>
        <w:tc>
          <w:tcPr>
            <w:tcW w:w="1559" w:type="dxa"/>
          </w:tcPr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устанавливать связи между событиями или утверждениями</w:t>
            </w:r>
          </w:p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A71BA5">
              <w:rPr>
                <w:rFonts w:ascii="Times New Roman" w:hAnsi="Times New Roman" w:cs="Times New Roman"/>
              </w:rPr>
              <w:t>(причинно-следственные отношения, отношения аргумент – контраргумент,</w:t>
            </w:r>
            <w:proofErr w:type="gramEnd"/>
          </w:p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тезис – пример, сходство – различие и др.)</w:t>
            </w:r>
          </w:p>
        </w:tc>
        <w:tc>
          <w:tcPr>
            <w:tcW w:w="1559" w:type="dxa"/>
          </w:tcPr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обнаруживать противоречия, содержащиеся в одном или</w:t>
            </w:r>
          </w:p>
          <w:p w:rsidR="00FC5E1D" w:rsidRPr="00A71BA5" w:rsidRDefault="00FC5E1D" w:rsidP="00FC5E1D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нескольких текстах</w:t>
            </w:r>
          </w:p>
        </w:tc>
      </w:tr>
      <w:tr w:rsidR="00FC5E1D" w:rsidRPr="00A71BA5" w:rsidTr="00FC5E1D">
        <w:tc>
          <w:tcPr>
            <w:tcW w:w="2093" w:type="dxa"/>
          </w:tcPr>
          <w:p w:rsidR="00FC5E1D" w:rsidRPr="00A71BA5" w:rsidRDefault="00FC5E1D" w:rsidP="007659D3">
            <w:pPr>
              <w:jc w:val="center"/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</w:pPr>
            <w:r w:rsidRPr="00A71BA5">
              <w:rPr>
                <w:rFonts w:ascii="TimesNewRomanPS-BoldMT" w:eastAsia="Times New Roman" w:hAnsi="TimesNewRomanPS-BoldMT" w:cs="Times New Roman"/>
                <w:b/>
                <w:bCs/>
                <w:color w:val="000000"/>
                <w:lang w:eastAsia="ru-RU"/>
              </w:rPr>
              <w:t>Максимальный балл:</w:t>
            </w:r>
          </w:p>
        </w:tc>
        <w:tc>
          <w:tcPr>
            <w:tcW w:w="1843" w:type="dxa"/>
          </w:tcPr>
          <w:p w:rsidR="00FC5E1D" w:rsidRPr="00A71BA5" w:rsidRDefault="00FC5E1D" w:rsidP="007659D3">
            <w:pPr>
              <w:jc w:val="center"/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</w:pPr>
            <w:r w:rsidRPr="00A71BA5">
              <w:rPr>
                <w:rFonts w:ascii="TimesNewRomanPSMT" w:eastAsia="Times New Roman" w:hAnsi="TimesNewRomanPSMT" w:cs="Times New Roman"/>
                <w:color w:val="000000"/>
                <w:lang w:eastAsia="ru-RU"/>
              </w:rPr>
              <w:t>1</w:t>
            </w:r>
          </w:p>
        </w:tc>
        <w:tc>
          <w:tcPr>
            <w:tcW w:w="1984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</w:tcPr>
          <w:p w:rsidR="00FC5E1D" w:rsidRPr="00A71BA5" w:rsidRDefault="00FC5E1D" w:rsidP="007659D3">
            <w:pPr>
              <w:jc w:val="center"/>
              <w:rPr>
                <w:rFonts w:ascii="Times New Roman" w:hAnsi="Times New Roman" w:cs="Times New Roman"/>
              </w:rPr>
            </w:pPr>
            <w:r w:rsidRPr="00A71BA5">
              <w:rPr>
                <w:rFonts w:ascii="Times New Roman" w:hAnsi="Times New Roman" w:cs="Times New Roman"/>
              </w:rPr>
              <w:t>1</w:t>
            </w:r>
          </w:p>
        </w:tc>
      </w:tr>
    </w:tbl>
    <w:p w:rsidR="003171C4" w:rsidRPr="007659D3" w:rsidRDefault="003171C4" w:rsidP="009B7E89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171C4" w:rsidRPr="007659D3" w:rsidSect="00A71BA5">
      <w:pgSz w:w="16838" w:h="11906" w:orient="landscape"/>
      <w:pgMar w:top="737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ymbolMT">
    <w:altName w:val="Times New Roman"/>
    <w:panose1 w:val="00000000000000000000"/>
    <w:charset w:val="00"/>
    <w:family w:val="roman"/>
    <w:notTrueType/>
    <w:pitch w:val="default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Wingdings-Regular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29B"/>
    <w:rsid w:val="002101CE"/>
    <w:rsid w:val="003171C4"/>
    <w:rsid w:val="006E0DEC"/>
    <w:rsid w:val="007659D3"/>
    <w:rsid w:val="007A6A43"/>
    <w:rsid w:val="009B7E89"/>
    <w:rsid w:val="00A71BA5"/>
    <w:rsid w:val="00DE25A5"/>
    <w:rsid w:val="00FC5E1D"/>
    <w:rsid w:val="00FC7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659D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659D3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659D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71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5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7659D3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7659D3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7659D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69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4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6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9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1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2022-03-19T07:00:00Z</dcterms:created>
  <dcterms:modified xsi:type="dcterms:W3CDTF">2022-03-21T08:01:00Z</dcterms:modified>
</cp:coreProperties>
</file>